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FB" w:rsidRPr="009552DA" w:rsidRDefault="006757FB" w:rsidP="006757FB">
      <w:pPr>
        <w:pStyle w:val="Header"/>
        <w:rPr>
          <w:rFonts w:ascii="Arial" w:hAnsi="Arial" w:cs="Arial"/>
          <w:u w:val="single"/>
        </w:rPr>
      </w:pPr>
      <w:bookmarkStart w:id="0" w:name="_GoBack"/>
      <w:bookmarkEnd w:id="0"/>
      <w:r w:rsidRPr="009552DA">
        <w:rPr>
          <w:rFonts w:ascii="Arial" w:hAnsi="Arial" w:cs="Arial"/>
          <w:noProof/>
        </w:rPr>
        <w:drawing>
          <wp:inline distT="0" distB="0" distL="0" distR="0" wp14:anchorId="6A33E179" wp14:editId="635DC54F">
            <wp:extent cx="1172685" cy="678576"/>
            <wp:effectExtent l="19050" t="0" r="8415" b="0"/>
            <wp:docPr id="4" name="Picture 0" descr="NCQ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QA_cmyk.jpg"/>
                    <pic:cNvPicPr/>
                  </pic:nvPicPr>
                  <pic:blipFill>
                    <a:blip r:embed="rId4" cstate="print"/>
                    <a:stretch>
                      <a:fillRect/>
                    </a:stretch>
                  </pic:blipFill>
                  <pic:spPr>
                    <a:xfrm>
                      <a:off x="0" y="0"/>
                      <a:ext cx="1165979" cy="674696"/>
                    </a:xfrm>
                    <a:prstGeom prst="rect">
                      <a:avLst/>
                    </a:prstGeom>
                  </pic:spPr>
                </pic:pic>
              </a:graphicData>
            </a:graphic>
          </wp:inline>
        </w:drawing>
      </w:r>
    </w:p>
    <w:p w:rsidR="006757FB" w:rsidRPr="009552DA" w:rsidRDefault="006757FB" w:rsidP="006757FB">
      <w:pPr>
        <w:pStyle w:val="Heading3"/>
        <w:jc w:val="left"/>
        <w:rPr>
          <w:rFonts w:ascii="Arial" w:hAnsi="Arial" w:cs="Arial"/>
          <w:u w:val="single"/>
        </w:rPr>
      </w:pPr>
    </w:p>
    <w:p w:rsidR="006757FB" w:rsidRPr="009552DA" w:rsidRDefault="006757FB" w:rsidP="006757FB">
      <w:pPr>
        <w:pStyle w:val="Heading3"/>
        <w:tabs>
          <w:tab w:val="left" w:pos="5760"/>
        </w:tabs>
        <w:jc w:val="left"/>
        <w:rPr>
          <w:rFonts w:ascii="Arial" w:hAnsi="Arial" w:cs="Arial"/>
          <w:b/>
        </w:rPr>
      </w:pPr>
      <w:r w:rsidRPr="009552DA">
        <w:rPr>
          <w:rFonts w:ascii="Arial" w:hAnsi="Arial" w:cs="Arial"/>
          <w:b/>
          <w:u w:val="single"/>
        </w:rPr>
        <w:t>FOR IMMEDIATE RELEASE</w:t>
      </w:r>
      <w:r w:rsidRPr="009552DA">
        <w:rPr>
          <w:rFonts w:ascii="Arial" w:hAnsi="Arial" w:cs="Arial"/>
          <w:b/>
        </w:rPr>
        <w:t>:</w:t>
      </w:r>
      <w:r w:rsidRPr="009552DA">
        <w:rPr>
          <w:rFonts w:ascii="Arial" w:hAnsi="Arial" w:cs="Arial"/>
          <w:b/>
        </w:rPr>
        <w:tab/>
      </w:r>
      <w:r w:rsidRPr="009552DA">
        <w:rPr>
          <w:rFonts w:ascii="Arial" w:hAnsi="Arial" w:cs="Arial"/>
          <w:b/>
          <w:u w:val="single"/>
        </w:rPr>
        <w:t>FOR MORE INFORMATION</w:t>
      </w:r>
      <w:r w:rsidRPr="009552DA">
        <w:rPr>
          <w:rFonts w:ascii="Arial" w:hAnsi="Arial" w:cs="Arial"/>
          <w:b/>
        </w:rPr>
        <w:t>:</w:t>
      </w:r>
    </w:p>
    <w:p w:rsidR="000122E9" w:rsidRPr="000122E9" w:rsidRDefault="00D27D37" w:rsidP="00D27D37">
      <w:pPr>
        <w:pStyle w:val="Heading3"/>
        <w:tabs>
          <w:tab w:val="left" w:pos="5760"/>
        </w:tabs>
        <w:jc w:val="left"/>
        <w:rPr>
          <w:rFonts w:ascii="Arial" w:hAnsi="Arial" w:cs="Arial"/>
        </w:rPr>
      </w:pPr>
      <w:r>
        <w:rPr>
          <w:rFonts w:ascii="Arial" w:hAnsi="Arial" w:cs="Arial"/>
          <w:sz w:val="20"/>
        </w:rPr>
        <w:t>March 14, 2018</w:t>
      </w:r>
      <w:r w:rsidR="006757FB" w:rsidRPr="009552DA">
        <w:rPr>
          <w:rFonts w:ascii="Arial" w:hAnsi="Arial" w:cs="Arial"/>
          <w:sz w:val="20"/>
        </w:rPr>
        <w:tab/>
      </w:r>
      <w:r>
        <w:rPr>
          <w:rFonts w:ascii="Arial" w:hAnsi="Arial" w:cs="Arial"/>
          <w:sz w:val="20"/>
        </w:rPr>
        <w:t>Paulette Platis 435-414-1561</w:t>
      </w:r>
    </w:p>
    <w:p w:rsidR="006757FB" w:rsidRPr="009552DA" w:rsidRDefault="006757FB" w:rsidP="006757FB">
      <w:pPr>
        <w:rPr>
          <w:rFonts w:ascii="Arial" w:hAnsi="Arial" w:cs="Arial"/>
          <w:b/>
          <w:sz w:val="24"/>
        </w:rPr>
      </w:pPr>
    </w:p>
    <w:p w:rsidR="006757FB" w:rsidRPr="009552DA" w:rsidRDefault="00D27D37" w:rsidP="006757FB">
      <w:pPr>
        <w:jc w:val="center"/>
        <w:rPr>
          <w:rFonts w:ascii="Arial" w:hAnsi="Arial" w:cs="Arial"/>
          <w:b/>
          <w:caps/>
          <w:sz w:val="22"/>
          <w:szCs w:val="22"/>
        </w:rPr>
      </w:pPr>
      <w:r>
        <w:rPr>
          <w:rFonts w:ascii="Arial" w:hAnsi="Arial" w:cs="Arial"/>
          <w:b/>
          <w:caps/>
          <w:sz w:val="22"/>
          <w:szCs w:val="22"/>
        </w:rPr>
        <w:t>family healthcare ea</w:t>
      </w:r>
      <w:r w:rsidR="006757FB" w:rsidRPr="009552DA">
        <w:rPr>
          <w:rFonts w:ascii="Arial" w:hAnsi="Arial" w:cs="Arial"/>
          <w:b/>
          <w:caps/>
          <w:sz w:val="22"/>
          <w:szCs w:val="22"/>
        </w:rPr>
        <w:t xml:space="preserve">RNS national recognition FOR </w:t>
      </w:r>
    </w:p>
    <w:p w:rsidR="006757FB" w:rsidRPr="009552DA" w:rsidRDefault="006757FB" w:rsidP="006757FB">
      <w:pPr>
        <w:jc w:val="center"/>
        <w:rPr>
          <w:rFonts w:ascii="Arial" w:hAnsi="Arial" w:cs="Arial"/>
          <w:b/>
          <w:caps/>
          <w:sz w:val="22"/>
          <w:szCs w:val="22"/>
        </w:rPr>
      </w:pPr>
      <w:r w:rsidRPr="009552DA">
        <w:rPr>
          <w:rFonts w:ascii="Arial" w:hAnsi="Arial" w:cs="Arial"/>
          <w:b/>
          <w:caps/>
          <w:sz w:val="22"/>
          <w:szCs w:val="22"/>
        </w:rPr>
        <w:t xml:space="preserve">PATIENT-CENTERED CARE </w:t>
      </w:r>
    </w:p>
    <w:p w:rsidR="006757FB" w:rsidRPr="009552DA" w:rsidRDefault="006757FB" w:rsidP="006757FB">
      <w:pPr>
        <w:jc w:val="center"/>
        <w:rPr>
          <w:rFonts w:ascii="Arial" w:hAnsi="Arial" w:cs="Arial"/>
          <w:b/>
          <w:caps/>
          <w:sz w:val="22"/>
          <w:szCs w:val="22"/>
        </w:rPr>
      </w:pPr>
    </w:p>
    <w:p w:rsidR="006757FB" w:rsidRPr="009552DA" w:rsidRDefault="006757FB" w:rsidP="006757FB">
      <w:pPr>
        <w:jc w:val="center"/>
        <w:rPr>
          <w:rFonts w:ascii="Arial" w:hAnsi="Arial" w:cs="Arial"/>
          <w:i/>
          <w:sz w:val="22"/>
          <w:szCs w:val="22"/>
        </w:rPr>
      </w:pPr>
      <w:r w:rsidRPr="009552DA">
        <w:rPr>
          <w:rFonts w:ascii="Arial" w:hAnsi="Arial" w:cs="Arial"/>
          <w:i/>
          <w:sz w:val="22"/>
          <w:szCs w:val="22"/>
        </w:rPr>
        <w:t xml:space="preserve">NCQA Patient-Centered Medical Home™ standards emphasize enhanced care through </w:t>
      </w:r>
      <w:r w:rsidRPr="009552DA">
        <w:rPr>
          <w:rFonts w:ascii="Arial" w:hAnsi="Arial" w:cs="Arial"/>
          <w:i/>
          <w:sz w:val="22"/>
          <w:szCs w:val="22"/>
        </w:rPr>
        <w:br/>
        <w:t>patient-clinician partnership</w:t>
      </w:r>
    </w:p>
    <w:p w:rsidR="006757FB" w:rsidRPr="009552DA" w:rsidRDefault="006757FB" w:rsidP="006757FB">
      <w:pPr>
        <w:spacing w:line="360" w:lineRule="auto"/>
        <w:rPr>
          <w:rFonts w:ascii="Arial" w:hAnsi="Arial" w:cs="Arial"/>
          <w:b/>
          <w:sz w:val="22"/>
          <w:szCs w:val="22"/>
        </w:rPr>
      </w:pPr>
    </w:p>
    <w:p w:rsidR="006757FB" w:rsidRPr="009552DA" w:rsidRDefault="006757FB" w:rsidP="006757FB">
      <w:pPr>
        <w:pStyle w:val="BodyTextIndent"/>
        <w:spacing w:line="360" w:lineRule="auto"/>
        <w:ind w:firstLine="0"/>
        <w:rPr>
          <w:rFonts w:ascii="Arial" w:hAnsi="Arial" w:cs="Arial"/>
          <w:sz w:val="20"/>
        </w:rPr>
      </w:pPr>
      <w:r w:rsidRPr="009552DA">
        <w:rPr>
          <w:rFonts w:ascii="Arial" w:hAnsi="Arial" w:cs="Arial"/>
          <w:b/>
          <w:sz w:val="20"/>
        </w:rPr>
        <w:t>WASHINGTON, DC</w:t>
      </w:r>
      <w:r w:rsidRPr="009552DA">
        <w:rPr>
          <w:rFonts w:ascii="Arial" w:hAnsi="Arial" w:cs="Arial"/>
          <w:sz w:val="20"/>
        </w:rPr>
        <w:t>—The National Committee for Quality Assura</w:t>
      </w:r>
      <w:r w:rsidR="00D27D37">
        <w:rPr>
          <w:rFonts w:ascii="Arial" w:hAnsi="Arial" w:cs="Arial"/>
          <w:sz w:val="20"/>
        </w:rPr>
        <w:t xml:space="preserve">nce (NCQA) today announced that </w:t>
      </w:r>
      <w:r w:rsidR="00D27D37" w:rsidRPr="00D27D37">
        <w:rPr>
          <w:rFonts w:ascii="Arial" w:hAnsi="Arial" w:cs="Arial"/>
          <w:b/>
          <w:sz w:val="20"/>
        </w:rPr>
        <w:t xml:space="preserve">FAMILY HEALTHCARE </w:t>
      </w:r>
      <w:r w:rsidRPr="009552DA">
        <w:rPr>
          <w:rFonts w:ascii="Arial" w:hAnsi="Arial" w:cs="Arial"/>
          <w:sz w:val="20"/>
        </w:rPr>
        <w:t xml:space="preserve">of </w:t>
      </w:r>
      <w:r w:rsidR="00D27D37">
        <w:rPr>
          <w:rFonts w:ascii="Arial" w:hAnsi="Arial" w:cs="Arial"/>
          <w:b/>
          <w:sz w:val="20"/>
        </w:rPr>
        <w:t>S</w:t>
      </w:r>
      <w:r w:rsidRPr="009552DA">
        <w:rPr>
          <w:rFonts w:ascii="Arial" w:hAnsi="Arial" w:cs="Arial"/>
          <w:b/>
          <w:sz w:val="20"/>
        </w:rPr>
        <w:t>T</w:t>
      </w:r>
      <w:r w:rsidR="00D27D37">
        <w:rPr>
          <w:rFonts w:ascii="Arial" w:hAnsi="Arial" w:cs="Arial"/>
          <w:b/>
          <w:sz w:val="20"/>
        </w:rPr>
        <w:t>. GEORGE, UTAH,</w:t>
      </w:r>
      <w:r w:rsidRPr="009552DA">
        <w:rPr>
          <w:rFonts w:ascii="Arial" w:hAnsi="Arial" w:cs="Arial"/>
          <w:sz w:val="20"/>
        </w:rPr>
        <w:t xml:space="preserve"> has received NCQA Patient-Centered Medical Home (PCMH) Recognition for using evidence-based, patient-centered processes that focus on highly coordinated care and long</w:t>
      </w:r>
      <w:r w:rsidRPr="009552DA">
        <w:rPr>
          <w:rFonts w:ascii="Cambria Math" w:hAnsi="Cambria Math" w:cs="Cambria Math"/>
          <w:sz w:val="20"/>
        </w:rPr>
        <w:t>‐</w:t>
      </w:r>
      <w:r w:rsidRPr="009552DA">
        <w:rPr>
          <w:rFonts w:ascii="Arial" w:hAnsi="Arial" w:cs="Arial"/>
          <w:sz w:val="20"/>
        </w:rPr>
        <w:t>term</w:t>
      </w:r>
      <w:r>
        <w:rPr>
          <w:rFonts w:ascii="Arial" w:hAnsi="Arial" w:cs="Arial"/>
          <w:sz w:val="20"/>
        </w:rPr>
        <w:t>,</w:t>
      </w:r>
      <w:r w:rsidRPr="009552DA">
        <w:rPr>
          <w:rFonts w:ascii="Arial" w:hAnsi="Arial" w:cs="Arial"/>
          <w:sz w:val="20"/>
        </w:rPr>
        <w:t xml:space="preserve"> participative relationships. </w:t>
      </w:r>
      <w:r w:rsidR="00D27D37">
        <w:rPr>
          <w:rFonts w:ascii="Arial" w:hAnsi="Arial" w:cs="Arial"/>
          <w:sz w:val="20"/>
        </w:rPr>
        <w:t>They received th</w:t>
      </w:r>
      <w:r w:rsidR="007333AC">
        <w:rPr>
          <w:rFonts w:ascii="Arial" w:hAnsi="Arial" w:cs="Arial"/>
          <w:sz w:val="20"/>
        </w:rPr>
        <w:t xml:space="preserve">e highest level 3 for all their </w:t>
      </w:r>
      <w:r w:rsidR="00D27D37">
        <w:rPr>
          <w:rFonts w:ascii="Arial" w:hAnsi="Arial" w:cs="Arial"/>
          <w:sz w:val="20"/>
        </w:rPr>
        <w:t>sites: St. George, Cedar City and Hurricane.</w:t>
      </w:r>
    </w:p>
    <w:p w:rsidR="006757FB" w:rsidRPr="009552DA" w:rsidRDefault="006757FB" w:rsidP="006757FB">
      <w:pPr>
        <w:pStyle w:val="BodyTextIndent"/>
        <w:spacing w:line="360" w:lineRule="auto"/>
        <w:ind w:firstLine="0"/>
        <w:rPr>
          <w:rFonts w:ascii="Arial" w:hAnsi="Arial" w:cs="Arial"/>
          <w:sz w:val="20"/>
        </w:rPr>
      </w:pPr>
    </w:p>
    <w:p w:rsidR="006757FB" w:rsidRPr="009552DA" w:rsidRDefault="006757FB" w:rsidP="006757FB">
      <w:pPr>
        <w:pStyle w:val="BodyTextIndent"/>
        <w:spacing w:line="360" w:lineRule="auto"/>
        <w:ind w:firstLine="0"/>
        <w:rPr>
          <w:rFonts w:ascii="Arial" w:hAnsi="Arial" w:cs="Arial"/>
          <w:sz w:val="20"/>
        </w:rPr>
      </w:pPr>
      <w:r w:rsidRPr="009552DA">
        <w:rPr>
          <w:rFonts w:ascii="Arial" w:hAnsi="Arial" w:cs="Arial"/>
          <w:sz w:val="20"/>
        </w:rPr>
        <w:t xml:space="preserve">The NCQA Patient-Centered Medical Home is a model of primary care that combines teamwork and information technology to improve care, improve patients’ experience of care and reduce costs. Medical homes foster ongoing partnerships between patients and their personal clinicians, instead of approaching care as the sum of episodic office visits. Each patient’s care is </w:t>
      </w:r>
      <w:r>
        <w:rPr>
          <w:rFonts w:ascii="Arial" w:hAnsi="Arial" w:cs="Arial"/>
          <w:sz w:val="20"/>
        </w:rPr>
        <w:t>overseen</w:t>
      </w:r>
      <w:r w:rsidRPr="009552DA">
        <w:rPr>
          <w:rFonts w:ascii="Arial" w:hAnsi="Arial" w:cs="Arial"/>
          <w:sz w:val="20"/>
        </w:rPr>
        <w:t xml:space="preserve"> by clinician-led care teams that coordinate treatment across the health care system. </w:t>
      </w:r>
      <w:hyperlink r:id="rId5" w:history="1">
        <w:r w:rsidRPr="00B56A10">
          <w:rPr>
            <w:rStyle w:val="Hyperlink"/>
            <w:rFonts w:ascii="Arial" w:hAnsi="Arial" w:cs="Arial"/>
            <w:color w:val="5B9BD5" w:themeColor="accent1"/>
            <w:sz w:val="20"/>
          </w:rPr>
          <w:t>Research</w:t>
        </w:r>
      </w:hyperlink>
      <w:r w:rsidRPr="00B56A10">
        <w:rPr>
          <w:rFonts w:ascii="Arial" w:hAnsi="Arial" w:cs="Arial"/>
          <w:color w:val="5B9BD5" w:themeColor="accent1"/>
          <w:sz w:val="20"/>
        </w:rPr>
        <w:t xml:space="preserve"> </w:t>
      </w:r>
      <w:r w:rsidRPr="009552DA">
        <w:rPr>
          <w:rFonts w:ascii="Arial" w:hAnsi="Arial" w:cs="Arial"/>
          <w:sz w:val="20"/>
        </w:rPr>
        <w:t xml:space="preserve">shows that medical homes can lead to higher quality and lower costs, and </w:t>
      </w:r>
      <w:r>
        <w:rPr>
          <w:rFonts w:ascii="Arial" w:hAnsi="Arial" w:cs="Arial"/>
          <w:sz w:val="20"/>
        </w:rPr>
        <w:t xml:space="preserve">can </w:t>
      </w:r>
      <w:r w:rsidRPr="009552DA">
        <w:rPr>
          <w:rFonts w:ascii="Arial" w:hAnsi="Arial" w:cs="Arial"/>
          <w:sz w:val="20"/>
        </w:rPr>
        <w:t xml:space="preserve">improve patient and provider reported experiences of care. </w:t>
      </w:r>
    </w:p>
    <w:p w:rsidR="006757FB" w:rsidRPr="009552DA" w:rsidRDefault="006757FB" w:rsidP="006757FB">
      <w:pPr>
        <w:pStyle w:val="BodyTextIndent"/>
        <w:spacing w:line="360" w:lineRule="auto"/>
        <w:ind w:firstLine="0"/>
        <w:rPr>
          <w:rFonts w:ascii="Arial" w:hAnsi="Arial" w:cs="Arial"/>
          <w:sz w:val="20"/>
        </w:rPr>
      </w:pPr>
    </w:p>
    <w:p w:rsidR="006757FB" w:rsidRPr="009552DA" w:rsidRDefault="006757FB" w:rsidP="006757FB">
      <w:pPr>
        <w:pStyle w:val="BodyTextIndent"/>
        <w:spacing w:line="360" w:lineRule="auto"/>
        <w:ind w:firstLine="0"/>
        <w:rPr>
          <w:rFonts w:ascii="Arial" w:hAnsi="Arial" w:cs="Arial"/>
          <w:sz w:val="20"/>
        </w:rPr>
      </w:pPr>
      <w:r w:rsidRPr="009552DA">
        <w:rPr>
          <w:rFonts w:ascii="Arial" w:hAnsi="Arial" w:cs="Arial"/>
          <w:sz w:val="20"/>
        </w:rPr>
        <w:t xml:space="preserve">“NCQA Patient-Centered Medical Home </w:t>
      </w:r>
      <w:r>
        <w:rPr>
          <w:rFonts w:ascii="Arial" w:hAnsi="Arial" w:cs="Arial"/>
          <w:sz w:val="20"/>
        </w:rPr>
        <w:t xml:space="preserve">Recognition </w:t>
      </w:r>
      <w:r w:rsidRPr="009552DA">
        <w:rPr>
          <w:rFonts w:ascii="Arial" w:hAnsi="Arial" w:cs="Arial"/>
          <w:sz w:val="20"/>
        </w:rPr>
        <w:t xml:space="preserve">raises the bar in defining high-quality care by emphasizing access, health information technology and coordinated care focused on patients,” said NCQA President Margaret E. O’Kane. </w:t>
      </w:r>
      <w:r>
        <w:rPr>
          <w:rFonts w:ascii="Arial" w:hAnsi="Arial" w:cs="Arial"/>
          <w:sz w:val="20"/>
        </w:rPr>
        <w:t>“</w:t>
      </w:r>
      <w:r w:rsidRPr="009552DA">
        <w:rPr>
          <w:rFonts w:ascii="Arial" w:hAnsi="Arial" w:cs="Arial"/>
          <w:sz w:val="20"/>
        </w:rPr>
        <w:t xml:space="preserve">Recognition shows that </w:t>
      </w:r>
      <w:r w:rsidR="00D27D37">
        <w:rPr>
          <w:rFonts w:ascii="Arial" w:hAnsi="Arial" w:cs="Arial"/>
          <w:b/>
          <w:sz w:val="20"/>
        </w:rPr>
        <w:t xml:space="preserve">FAMILY HEALTHCARE </w:t>
      </w:r>
      <w:r w:rsidRPr="00D27D37">
        <w:rPr>
          <w:rFonts w:ascii="Arial" w:hAnsi="Arial" w:cs="Arial"/>
          <w:sz w:val="20"/>
        </w:rPr>
        <w:t>h</w:t>
      </w:r>
      <w:r w:rsidRPr="009552DA">
        <w:rPr>
          <w:rFonts w:ascii="Arial" w:hAnsi="Arial" w:cs="Arial"/>
          <w:sz w:val="20"/>
        </w:rPr>
        <w:t xml:space="preserve">as the tools, systems and resources to provide </w:t>
      </w:r>
      <w:r>
        <w:rPr>
          <w:rFonts w:ascii="Arial" w:hAnsi="Arial" w:cs="Arial"/>
          <w:sz w:val="20"/>
        </w:rPr>
        <w:t>its</w:t>
      </w:r>
      <w:r w:rsidRPr="009552DA">
        <w:rPr>
          <w:rFonts w:ascii="Arial" w:hAnsi="Arial" w:cs="Arial"/>
          <w:sz w:val="20"/>
        </w:rPr>
        <w:t xml:space="preserve"> patients with the right care</w:t>
      </w:r>
      <w:r>
        <w:rPr>
          <w:rFonts w:ascii="Arial" w:hAnsi="Arial" w:cs="Arial"/>
          <w:sz w:val="20"/>
        </w:rPr>
        <w:t>,</w:t>
      </w:r>
      <w:r w:rsidRPr="009552DA">
        <w:rPr>
          <w:rFonts w:ascii="Arial" w:hAnsi="Arial" w:cs="Arial"/>
          <w:sz w:val="20"/>
        </w:rPr>
        <w:t xml:space="preserve"> at the right time.”</w:t>
      </w:r>
    </w:p>
    <w:p w:rsidR="006757FB" w:rsidRPr="009552DA" w:rsidRDefault="006757FB" w:rsidP="006757FB">
      <w:pPr>
        <w:pStyle w:val="BodyTextIndent"/>
        <w:spacing w:line="360" w:lineRule="auto"/>
        <w:ind w:firstLine="0"/>
        <w:rPr>
          <w:rFonts w:ascii="Arial" w:hAnsi="Arial" w:cs="Arial"/>
          <w:sz w:val="20"/>
        </w:rPr>
      </w:pPr>
    </w:p>
    <w:p w:rsidR="006757FB" w:rsidRPr="009552DA" w:rsidRDefault="006757FB" w:rsidP="006757FB">
      <w:pPr>
        <w:pStyle w:val="BodyTextIndent"/>
        <w:spacing w:line="360" w:lineRule="auto"/>
        <w:ind w:firstLine="0"/>
        <w:rPr>
          <w:rFonts w:ascii="Arial" w:hAnsi="Arial" w:cs="Arial"/>
          <w:sz w:val="20"/>
        </w:rPr>
      </w:pPr>
      <w:r w:rsidRPr="009552DA">
        <w:rPr>
          <w:rFonts w:ascii="Arial" w:hAnsi="Arial" w:cs="Arial"/>
          <w:sz w:val="20"/>
        </w:rPr>
        <w:t xml:space="preserve">To </w:t>
      </w:r>
      <w:r>
        <w:rPr>
          <w:rFonts w:ascii="Arial" w:hAnsi="Arial" w:cs="Arial"/>
          <w:sz w:val="20"/>
        </w:rPr>
        <w:t>earn</w:t>
      </w:r>
      <w:r w:rsidRPr="009552DA">
        <w:rPr>
          <w:rFonts w:ascii="Arial" w:hAnsi="Arial" w:cs="Arial"/>
          <w:sz w:val="20"/>
        </w:rPr>
        <w:t xml:space="preserve"> recognition, which is valid for three years, </w:t>
      </w:r>
      <w:r w:rsidR="00D27D37">
        <w:rPr>
          <w:rFonts w:ascii="Arial" w:hAnsi="Arial" w:cs="Arial"/>
          <w:b/>
          <w:sz w:val="20"/>
        </w:rPr>
        <w:t>FAMILY HEALTHCARE</w:t>
      </w:r>
      <w:r w:rsidR="00D27D37" w:rsidRPr="00D27D37">
        <w:rPr>
          <w:rFonts w:ascii="Arial" w:hAnsi="Arial" w:cs="Arial"/>
          <w:sz w:val="20"/>
        </w:rPr>
        <w:t xml:space="preserve"> has </w:t>
      </w:r>
      <w:r w:rsidRPr="009552DA">
        <w:rPr>
          <w:rFonts w:ascii="Arial" w:hAnsi="Arial" w:cs="Arial"/>
          <w:sz w:val="20"/>
        </w:rPr>
        <w:t>demonstrated the ability to meet the program’s key elements</w:t>
      </w:r>
      <w:r>
        <w:rPr>
          <w:rFonts w:ascii="Arial" w:hAnsi="Arial" w:cs="Arial"/>
          <w:sz w:val="20"/>
        </w:rPr>
        <w:t>,</w:t>
      </w:r>
      <w:r w:rsidRPr="009552DA">
        <w:rPr>
          <w:rFonts w:ascii="Arial" w:hAnsi="Arial" w:cs="Arial"/>
          <w:sz w:val="20"/>
        </w:rPr>
        <w:t xml:space="preserve"> embodying characteristics of the medical home. NCQA standards aligned with the joint principles of the Patient-Centered Medical Home established with the American College of Physicians, the American Academy of Family Physicians, the American Academy of Pediatrics and the American Osteopathic Association. </w:t>
      </w:r>
    </w:p>
    <w:p w:rsidR="006757FB" w:rsidRDefault="006757FB" w:rsidP="00D27D37">
      <w:pPr>
        <w:spacing w:line="360" w:lineRule="auto"/>
        <w:rPr>
          <w:rFonts w:ascii="Arial" w:hAnsi="Arial" w:cs="Arial"/>
          <w:bCs/>
          <w:sz w:val="24"/>
          <w:szCs w:val="24"/>
        </w:rPr>
      </w:pPr>
      <w:r w:rsidRPr="009552DA">
        <w:rPr>
          <w:rFonts w:ascii="Arial" w:hAnsi="Arial" w:cs="Arial"/>
        </w:rPr>
        <w:t xml:space="preserve">To find clinicians and their practices </w:t>
      </w:r>
      <w:r>
        <w:rPr>
          <w:rFonts w:ascii="Arial" w:hAnsi="Arial" w:cs="Arial"/>
        </w:rPr>
        <w:t xml:space="preserve">with NCQA PCMH Recognition, </w:t>
      </w:r>
      <w:r w:rsidRPr="009552DA">
        <w:rPr>
          <w:rFonts w:ascii="Arial" w:hAnsi="Arial" w:cs="Arial"/>
        </w:rPr>
        <w:t xml:space="preserve">visit </w:t>
      </w:r>
      <w:hyperlink r:id="rId6" w:history="1">
        <w:r w:rsidRPr="009552DA">
          <w:rPr>
            <w:rStyle w:val="Hyperlink"/>
            <w:rFonts w:ascii="Arial" w:hAnsi="Arial" w:cs="Arial"/>
            <w:color w:val="auto"/>
          </w:rPr>
          <w:t>http://recognition.ncqa.org</w:t>
        </w:r>
      </w:hyperlink>
      <w:r w:rsidRPr="009552DA">
        <w:rPr>
          <w:rFonts w:ascii="Arial" w:hAnsi="Arial" w:cs="Arial"/>
          <w:snapToGrid w:val="0"/>
        </w:rPr>
        <w:t xml:space="preserve">.  </w:t>
      </w:r>
      <w:r w:rsidRPr="009552DA">
        <w:rPr>
          <w:rFonts w:ascii="Arial" w:hAnsi="Arial" w:cs="Arial"/>
          <w:snapToGrid w:val="0"/>
        </w:rPr>
        <w:br/>
      </w:r>
      <w:r w:rsidRPr="009552DA">
        <w:rPr>
          <w:rFonts w:ascii="Arial" w:hAnsi="Arial" w:cs="Arial"/>
          <w:b/>
          <w:bCs/>
        </w:rPr>
        <w:br/>
        <w:t>About NCQA</w:t>
      </w:r>
      <w:r w:rsidRPr="009552DA">
        <w:rPr>
          <w:rFonts w:ascii="Arial" w:hAnsi="Arial" w:cs="Arial"/>
          <w:b/>
        </w:rPr>
        <w:br/>
      </w:r>
      <w:r w:rsidR="0072708E" w:rsidRPr="0072708E">
        <w:rPr>
          <w:rFonts w:ascii="Arial" w:hAnsi="Arial" w:cs="Arial"/>
          <w:bCs/>
        </w:rPr>
        <w:lastRenderedPageBreak/>
        <w:t>NCQA is a private, non-profit organization dedicated to improving health care quality. NCQA accredits and certifies a wide range of health care organizations. It also recognizes clinicians and practices in key areas of performance. NCQA’s Healthcare Effectiveness Data and Information Set (HEDIS</w:t>
      </w:r>
      <w:r w:rsidR="0072708E" w:rsidRPr="0072708E">
        <w:rPr>
          <w:rFonts w:ascii="Arial" w:hAnsi="Arial" w:cs="Arial"/>
          <w:bCs/>
          <w:vertAlign w:val="superscript"/>
        </w:rPr>
        <w:t>®</w:t>
      </w:r>
      <w:r w:rsidR="0072708E" w:rsidRPr="0072708E">
        <w:rPr>
          <w:rFonts w:ascii="Arial" w:hAnsi="Arial" w:cs="Arial"/>
          <w:bCs/>
        </w:rPr>
        <w:t>) is the most widely used performance measurement tool in health care. NCQA’s Web site (ncqa.org) contains information to help consumers, employers and others make more informed health care choices.</w:t>
      </w:r>
      <w:r w:rsidR="0072708E" w:rsidRPr="00E663DC">
        <w:rPr>
          <w:rFonts w:ascii="Arial" w:hAnsi="Arial" w:cs="Arial"/>
          <w:bCs/>
          <w:sz w:val="24"/>
          <w:szCs w:val="24"/>
        </w:rPr>
        <w:t xml:space="preserve"> </w:t>
      </w:r>
    </w:p>
    <w:p w:rsidR="00D27D37" w:rsidRPr="00D27D37" w:rsidRDefault="00D27D37" w:rsidP="00D27D37">
      <w:pPr>
        <w:spacing w:line="360" w:lineRule="auto"/>
        <w:rPr>
          <w:rFonts w:ascii="Arial" w:hAnsi="Arial" w:cs="Arial"/>
          <w:bCs/>
          <w:sz w:val="24"/>
          <w:szCs w:val="24"/>
        </w:rPr>
      </w:pPr>
    </w:p>
    <w:p w:rsidR="006757FB" w:rsidRPr="009552DA" w:rsidRDefault="006757FB" w:rsidP="006757FB">
      <w:pPr>
        <w:spacing w:line="360" w:lineRule="auto"/>
        <w:ind w:firstLine="720"/>
        <w:jc w:val="center"/>
        <w:rPr>
          <w:rFonts w:ascii="Arial" w:hAnsi="Arial" w:cs="Arial"/>
          <w:b/>
        </w:rPr>
      </w:pPr>
      <w:r w:rsidRPr="009552DA">
        <w:rPr>
          <w:rFonts w:ascii="Arial" w:hAnsi="Arial" w:cs="Arial"/>
        </w:rPr>
        <w:t>###</w:t>
      </w:r>
    </w:p>
    <w:p w:rsidR="006757FB" w:rsidRPr="009552DA" w:rsidRDefault="006757FB" w:rsidP="006757FB">
      <w:pPr>
        <w:rPr>
          <w:rFonts w:ascii="Arial" w:hAnsi="Arial" w:cs="Arial"/>
        </w:rPr>
      </w:pPr>
    </w:p>
    <w:p w:rsidR="006757FB" w:rsidRPr="009552DA" w:rsidRDefault="006757FB" w:rsidP="006757FB">
      <w:pPr>
        <w:rPr>
          <w:rFonts w:ascii="Arial" w:hAnsi="Arial" w:cs="Arial"/>
        </w:rPr>
      </w:pPr>
    </w:p>
    <w:p w:rsidR="006757FB" w:rsidRPr="009552DA" w:rsidRDefault="006757FB" w:rsidP="006757FB">
      <w:pPr>
        <w:pStyle w:val="Header"/>
        <w:jc w:val="center"/>
        <w:rPr>
          <w:rFonts w:ascii="Arial" w:hAnsi="Arial" w:cs="Arial"/>
          <w:b/>
          <w:sz w:val="24"/>
          <w:szCs w:val="24"/>
        </w:rPr>
      </w:pPr>
    </w:p>
    <w:p w:rsidR="006757FB" w:rsidRPr="009552DA" w:rsidRDefault="006757FB" w:rsidP="006757FB">
      <w:pPr>
        <w:rPr>
          <w:rFonts w:ascii="Arial" w:hAnsi="Arial" w:cs="Arial"/>
        </w:rPr>
      </w:pPr>
    </w:p>
    <w:p w:rsidR="006757FB" w:rsidRPr="009552DA" w:rsidRDefault="006757FB" w:rsidP="006757FB">
      <w:pPr>
        <w:rPr>
          <w:rFonts w:ascii="Arial" w:hAnsi="Arial" w:cs="Arial"/>
        </w:rPr>
      </w:pPr>
    </w:p>
    <w:p w:rsidR="006757FB" w:rsidRDefault="006757FB" w:rsidP="006757FB"/>
    <w:p w:rsidR="00697A64" w:rsidRDefault="00697A64"/>
    <w:sectPr w:rsidR="00697A64" w:rsidSect="001D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122E9"/>
    <w:rsid w:val="00282410"/>
    <w:rsid w:val="006757FB"/>
    <w:rsid w:val="00697A64"/>
    <w:rsid w:val="0072708E"/>
    <w:rsid w:val="007333AC"/>
    <w:rsid w:val="00761C6D"/>
    <w:rsid w:val="0084775B"/>
    <w:rsid w:val="008C263C"/>
    <w:rsid w:val="00D27D37"/>
    <w:rsid w:val="00FC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3BBBE-9CCA-4BEA-855E-55C234C3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F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757FB"/>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57FB"/>
    <w:rPr>
      <w:rFonts w:ascii="Times New Roman" w:eastAsia="Times New Roman" w:hAnsi="Times New Roman" w:cs="Times New Roman"/>
      <w:sz w:val="24"/>
      <w:szCs w:val="20"/>
    </w:rPr>
  </w:style>
  <w:style w:type="paragraph" w:styleId="Header">
    <w:name w:val="header"/>
    <w:basedOn w:val="Normal"/>
    <w:link w:val="HeaderChar"/>
    <w:rsid w:val="006757FB"/>
    <w:pPr>
      <w:tabs>
        <w:tab w:val="center" w:pos="4320"/>
        <w:tab w:val="right" w:pos="8640"/>
      </w:tabs>
    </w:pPr>
  </w:style>
  <w:style w:type="character" w:customStyle="1" w:styleId="HeaderChar">
    <w:name w:val="Header Char"/>
    <w:basedOn w:val="DefaultParagraphFont"/>
    <w:link w:val="Header"/>
    <w:rsid w:val="006757FB"/>
    <w:rPr>
      <w:rFonts w:ascii="Times New Roman" w:eastAsia="Times New Roman" w:hAnsi="Times New Roman" w:cs="Times New Roman"/>
      <w:sz w:val="20"/>
      <w:szCs w:val="20"/>
    </w:rPr>
  </w:style>
  <w:style w:type="paragraph" w:styleId="BodyTextIndent">
    <w:name w:val="Body Text Indent"/>
    <w:basedOn w:val="Normal"/>
    <w:link w:val="BodyTextIndentChar"/>
    <w:rsid w:val="006757FB"/>
    <w:pPr>
      <w:spacing w:line="480" w:lineRule="auto"/>
      <w:ind w:firstLine="720"/>
    </w:pPr>
    <w:rPr>
      <w:sz w:val="24"/>
    </w:rPr>
  </w:style>
  <w:style w:type="character" w:customStyle="1" w:styleId="BodyTextIndentChar">
    <w:name w:val="Body Text Indent Char"/>
    <w:basedOn w:val="DefaultParagraphFont"/>
    <w:link w:val="BodyTextIndent"/>
    <w:rsid w:val="006757FB"/>
    <w:rPr>
      <w:rFonts w:ascii="Times New Roman" w:eastAsia="Times New Roman" w:hAnsi="Times New Roman" w:cs="Times New Roman"/>
      <w:sz w:val="24"/>
      <w:szCs w:val="20"/>
    </w:rPr>
  </w:style>
  <w:style w:type="character" w:styleId="Hyperlink">
    <w:name w:val="Hyperlink"/>
    <w:basedOn w:val="DefaultParagraphFont"/>
    <w:rsid w:val="006757FB"/>
    <w:rPr>
      <w:color w:val="0000FF"/>
      <w:u w:val="single"/>
    </w:rPr>
  </w:style>
  <w:style w:type="paragraph" w:styleId="BalloonText">
    <w:name w:val="Balloon Text"/>
    <w:basedOn w:val="Normal"/>
    <w:link w:val="BalloonTextChar"/>
    <w:uiPriority w:val="99"/>
    <w:semiHidden/>
    <w:unhideWhenUsed/>
    <w:rsid w:val="00D27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D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cognition.ncqa.org" TargetMode="External"/><Relationship Id="rId5" Type="http://schemas.openxmlformats.org/officeDocument/2006/relationships/hyperlink" Target="http://www.ncqa.org/Portals/0/Public%20Policy/2014%20Comment%20Letters/The_Future_of_PCMH.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Maciejowski</dc:creator>
  <cp:keywords/>
  <dc:description/>
  <cp:lastModifiedBy>Paulette Platis</cp:lastModifiedBy>
  <cp:revision>2</cp:revision>
  <cp:lastPrinted>2018-03-13T19:53:00Z</cp:lastPrinted>
  <dcterms:created xsi:type="dcterms:W3CDTF">2018-05-25T19:16:00Z</dcterms:created>
  <dcterms:modified xsi:type="dcterms:W3CDTF">2018-05-25T19:16:00Z</dcterms:modified>
</cp:coreProperties>
</file>